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04.02.2025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ЗДРАВООХРАНЕНИЯ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20 сентября 2012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142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 порядке проведения подтверждения квалификации и проверочного испытания для лиц, имеющих медицинское, фармацевтическое образование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22 апреля 2021 г. № 39 (зарегистрировано в Национальном реестре - № 8/36755 от 07.06.2021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28 ноября 2023 г. № 179 (зарегистрировано в Национальном реестре - № 8/40790 от 13.12.2023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31 декабря 2024 г. № 183 (зарегистрировано в Национальном реестре - № 8/42750 от 17.01.2025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четвертой статьи 56 Закона Республики Беларусь от 18 июня 1993 г. № 2435-XII «О здравоохранении», 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Инструкцию о порядке проведения подтверждения квалификации и проверочного испытания для лиц, имеющих высшее или среднее специальное медицинское, фармацевтическое образование, не работавших по имеющейся специальности более четырех лет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через десять дней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В.И.Жарко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92" w:type="dxa"/>
        <w:gridCol w:w="1708" w:type="dxa"/>
      </w:tblGrid>
      <w:tblPr>
        <w:tblW w:w="5000" w:type="pct"/>
        <w:tblLayout w:type="autofit"/>
      </w:tblPr>
      <w:tr>
        <w:trPr/>
        <w:tc>
          <w:tcPr>
            <w:tcW w:w="3292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08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20.09.2012 № 142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проведения подтверждения квалификации и проверочного испытания для лиц, имеющих высшее или среднее специальное медицинское, фармацевтическое образование, не работавших по имеющейся специальности более четырех лет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проведения подтверждения квалификации и проверочного испытания для лиц, имеющих высшее или среднее специальное медицинское, фармацевтическое образование, не работавших по имеющейся специальности более четырех лет (далее – соискатели).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Действие настоящей Инструкции не распространяется на лиц, которым гарантии их трудовых прав установлены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Организация и проведение подтверждения квалификации и проверочного испытания (далее, если не указано иное, – проверочное испытание) осуществляются государственными учреждениями образования, осуществляющими подготовку, повышение квалификации и (или) переподготовку специалистов с высшим или средним специальным медицинским, фармацевтическим образованием (далее – учреждение образования), в отношении категорий лиц по перечню согласно приложению 1.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Прохождение проверочного испытания осуществляется по инициативе соискателя на договорной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Для прохождения проверочного испытания соискатель представляет в учреждение образования заявление о прохождении проверочного испытания и копии следующих документов, заверенных в установленном порядке: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4.1. паспорта или иного документа, удостоверяющего личность соискателя;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4.2. документа, подтверждающего изменение фамилии или иных данных соискателя – в случае их изменения;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4.3. диплома о высшем или среднем специальном образовании;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4.4. исключен;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4.5. документа о прохождении интернатуры (стажировки), выданного в порядке, установленном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4.6. трудовой книжки;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4.7.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Для проведения проверочного испытания создается квалификационная комиссия, состав которой утверждается приказом учреждения образования по согласованию с Министерством здравоохранения.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В состав квалификационной комиссии входит председатель, секретарь и члены комиссии (не менее трех), которые назначаются из числа высококвалифицированных специалистов учреждения образования, в котором создается квалификационная комиссия, иных учреждений образования, подчиненных Министерству здравоохранения, государственных организаций здравоохранения, имеющих квалификацию, соответствующую профилю квалификационной комиссии, а также специалистов иных органов (организаций) по согласованию с руководителями данных органов (организаций).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Квалификационная комиссия: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7.1. рассматривает представленные соискателем документы;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7.2. проводит проверочное испытание;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7.3. по итогам проверочного испытания принимает решения, указанные в пункте 12 настоящей Инструкции;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7.4. определяет объем необходимой соискателю профессиональной подготовки, которую ему рекомендуется пройти в период, установленный квалификационной комиссией;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7.5. выполняет иные полномочия,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Председатель квалификационной комиссии: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8.1. организует работу квалификационной комиссии, исходя из квалификации соискателей;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8.2. при необходимости осуществляет подбор высококвалифицированных специалистов для дополнительного включения в состав квалификационной комиссии, исходя из квалификации соискателей;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8.3. проводит заседание квалификационной комиссии;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8.4. выполняет иные полномочия,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Секретарь квалификационной комиссии: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9.1. принимает от соискателей документы, указанные в пункте 4 настоящей Инструкции;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9.2. знакомит соискателя с порядком проведения проверочного испытания, а также информирует его о дате и времени его проведения;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9.3. информирует членов квалификационной комиссии о дате и времени ее заседания;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9.4. оформляет и регистрирует протоколы заседания квалификационной комиссии и иные документы, связанные с работой квалификационной комиссии;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9.5. выполняет иные полномочия,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Представленные соискателем квалификационной комиссии документы проходят регистрацию в день поступления и подлежат рассмотрению в течение десяти рабочих дней со дня регистрации.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Проверочное испытание для соискателей, за исключением указанных в частях второй и третьей настоящего пункта, состоит из трех этапов и проводится в виде компьютерного тестирования, устного собеседования с решением ситуационных задач и демонстрации практических навыков с использованием симуляционного оборудования лабораторий по отработке навыков (симуляционно-аттестационных центров) учреждения образования, Республиканского центра профессиональной аттестации и симуляционного обучения медицинских, фармацевтических работников учреждения образования «Белорусский государственный медицинский университет».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Проверочное испытание в виде устного собеседования с решением ситуационных задач проходят соискатели, имеющие высшее или среднее специальное медицинское, фармацевтическое образование, не работавшие по имеющейся специальности в организациях здравоохранения более четырех лет, но в указанный период: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работавшие за пределами Республики Беларусь на должностях врачей-специалистов, провизоров-специалистов, медицинских, фармацевтических работников, имеющих среднее специальное образование, при подтверждении факта работы трудовым договором или договором, предусмотренным гражданским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избранные на должности освобожденных председателей и их заместителей комитетов профессионального союза работников здравоохранения, комитетов Белорусского Общества Красного Креста, назначенных в секретариат Белорусского Общества Красного Креста;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занимавшие должности в экспертных подразделениях Государственного комитета судебных экспертиз, непосредственно занятых организацией проведения (контролем за проведением) и (или) проведением судебно-медицинских, судебно-психиатрических экспертиз;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работавшие председателями (заместителями председателей, курирующими вопросы социальной сферы) областных (городских, районных) исполнительных комитетов;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осуществлявшие уход за ребенком-инвалидом, инвалидом I группы либо лицом, достигшим 80-летнего возраста и нуждающимся в постоянном уходе.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Соискатели, имеющие высшее или среднее специальное медицинское, фармацевтическое образование, достигшие общеустановленного пенсионного возраста и не работавшие по имеющейся специальности в организациях здравоохранения более четырех лет в связи с трудовой пенсией, проходят проверочное испытание в виде устного собеседования без решения ситуационных задач.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ходатайству соискателей, указанных в части третьей настоящего пункта, может быть организовано выездное заседание квалификационной комиссии для проведения проверочного испытания.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На основании результатов прохождения проверочного испытания квалификационная комиссия принимает одно из следующих решений: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подтвердить квалификацию соискателя;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отказать в подтверждении квалификации соискателя.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Решение квалификационной комиссии принимается большинством голосов и доводится до сведения соискателя в день заседания указанной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считается правомочным, если в заседании квалификационной комиссии участвовало не менее половины всех ее членов.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равенстве голосов членов квалификационной комиссии решающий голос имеет ее председатель.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Решение квалификационной комиссии оформляется протоколом, который утверждается руководителем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Соискатели, не выдержавшие проверочного испытания, имеют право пройти повторное проверочное испытание в сроки и на условиях, установленных квалификационной комиссией, но не ранее чем через один месяц.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Соискателю, не явившемуся на заседание квалификационной комиссии по уважительной причине, время прохождения проверочного испытания переносится на время проведения следующего заседания квалификационной комиссии.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После успешного прохождения проверочного испытания соискателю в течение пяти рабочих дней выдается сертификат о подтверждении квалификации и прохождении проверочного испытания (далее, если не указано иное, – сертификат) по форме согласно приложению 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Учреждения образования обеспечивают изготовление, хранение и учет бланков сертификатов, учет сертификатов, выданных соискателям, а также выполнение иных функций, предусмотренных настоящей Инструкцией и 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030" w:type="dxa"/>
        <w:gridCol w:w="1970" w:type="dxa"/>
      </w:tblGrid>
      <w:tblPr>
        <w:tblW w:w="5000" w:type="pct"/>
        <w:tblLayout w:type="autofit"/>
      </w:tblPr>
      <w:tr>
        <w:trPr/>
        <w:tc>
          <w:tcPr>
            <w:tcW w:w="3030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97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 о порядке проведения</w:t>
            </w:r>
            <w:br/>
            <w:r>
              <w:rPr>
                <w:sz w:val="22"/>
                <w:szCs w:val="22"/>
              </w:rPr>
              <w:t xml:space="preserve">подтверждения квалификации</w:t>
            </w:r>
            <w:br/>
            <w:r>
              <w:rPr>
                <w:sz w:val="22"/>
                <w:szCs w:val="22"/>
              </w:rPr>
              <w:t xml:space="preserve">и проверочного испытания для лиц,</w:t>
            </w:r>
            <w:br/>
            <w:r>
              <w:rPr>
                <w:sz w:val="22"/>
                <w:szCs w:val="22"/>
              </w:rPr>
              <w:t xml:space="preserve">имеющих высшее или среднее</w:t>
            </w:r>
            <w:br/>
            <w:r>
              <w:rPr>
                <w:sz w:val="22"/>
                <w:szCs w:val="22"/>
              </w:rPr>
              <w:t xml:space="preserve">специальное медицинское,</w:t>
            </w:r>
            <w:br/>
            <w:r>
              <w:rPr>
                <w:sz w:val="22"/>
                <w:szCs w:val="22"/>
              </w:rPr>
              <w:t xml:space="preserve">фармацевтическое образование,</w:t>
            </w:r>
            <w:br/>
            <w:r>
              <w:rPr>
                <w:sz w:val="22"/>
                <w:szCs w:val="22"/>
              </w:rPr>
              <w:t xml:space="preserve">не работавших по имеющейся</w:t>
            </w:r>
            <w:br/>
            <w:r>
              <w:rPr>
                <w:sz w:val="22"/>
                <w:szCs w:val="22"/>
              </w:rPr>
              <w:t xml:space="preserve">специальности более четырех лет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28.11.2023 № 179)</w:t>
            </w:r>
          </w:p>
        </w:tc>
      </w:tr>
    </w:tbl>
    <w:p>
      <w:pPr>
        <w:jc w:val="left"/>
        <w:spacing w:before="240" w:after="240"/>
      </w:pPr>
      <w:r>
        <w:rPr>
          <w:sz w:val="24"/>
          <w:szCs w:val="24"/>
          <w:b/>
          <w:bCs/>
        </w:rPr>
        <w:t xml:space="preserve">ПЕРЕЧЕНЬ</w:t>
      </w:r>
      <w:br/>
      <w:r>
        <w:rPr>
          <w:sz w:val="24"/>
          <w:szCs w:val="24"/>
          <w:b/>
          <w:bCs/>
        </w:rPr>
        <w:t xml:space="preserve">учреждений образования и категорий лиц для проведения проверочного испытания</w:t>
      </w:r>
    </w:p>
    <w:tbl>
      <w:tblGrid>
        <w:gridCol w:w="303" w:type="dxa"/>
        <w:gridCol w:w="2046" w:type="dxa"/>
        <w:gridCol w:w="2651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303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2046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учреждения образования</w:t>
            </w:r>
          </w:p>
        </w:tc>
        <w:tc>
          <w:tcPr>
            <w:tcW w:w="2651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Категории лиц, имеющих высшее (среднее специальное) образование (с указанием наименования специальности)</w:t>
            </w:r>
          </w:p>
        </w:tc>
      </w:tr>
      <w:tr>
        <w:trPr/>
        <w:tc>
          <w:tcPr>
            <w:tcW w:w="303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046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2651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«Белорусский государственный медицинский университет»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высшее образование по всем специальностям направления образования «Здравоохранение»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«Витебский государственный ордена Дружбы народов медицинский университет»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высшее образование по специальности «Фармация», «Лечебное дело», «Педиатрия» и «Стоматология»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«Белорусский государственный медицинский колледж»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среднее специальное образование по всем специальностям направления образования «Здравоохранение»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«Брестский государственный медицинский колледж»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среднее специальное образование по специальностям «Лечебное дело» и «Сестринское дело»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«Витебский государственный медицинский колледж имени академика И.П.Антонова»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среднее специальное образование по всем специальностям направления образования «Здравоохранение», за исключением специальности «Зуболечебное дело» и «Зубопротезное дело»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«Гомельский государственный медицинский колледж»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среднее специальное образование по всем специальностям направления образования «Здравоохранение», за исключением специальности «Фармация»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«Гродненский государственный медицинский колледж»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среднее специальное образование по всем специальностям направления образования «Здравоохранение», за исключением специальности «Фармация»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«Могилевский государственный медицинский колледж»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среднее специальное образование по специальностям «Лечебное дело», «Медико-диагностическое дело», «Фармация» и «Сестринское дело»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«Оршанский государственный медицинский колледж»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среднее специальное образование по специальностям «Зуболечебное дело» и «Зубопротезное дело»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«Гомельский государственный медицинский университет»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высшее образование по специальностям «Лечебное дело», «Медико-диагностическое дело»</w:t>
            </w:r>
          </w:p>
        </w:tc>
      </w:tr>
      <w:tr>
        <w:trPr/>
        <w:tc>
          <w:tcPr>
            <w:tcW w:w="303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204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Учреждение образования «Гродненский государственный медицинский университет»</w:t>
            </w:r>
          </w:p>
        </w:tc>
        <w:tc>
          <w:tcPr>
            <w:tcW w:w="2651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лица, имеющие высшее образование по специальностям «Лечебное дело», «Педиатрия», «Медико-диагностическое дело» и «Медико-психологическое дело»</w:t>
            </w:r>
          </w:p>
        </w:tc>
      </w:tr>
    </w:tbl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06" w:type="dxa"/>
        <w:gridCol w:w="1894" w:type="dxa"/>
      </w:tblGrid>
      <w:tblPr>
        <w:tblW w:w="5000" w:type="pct"/>
        <w:tblLayout w:type="autofit"/>
      </w:tblPr>
      <w:tr>
        <w:trPr/>
        <w:tc>
          <w:tcPr>
            <w:tcW w:w="3106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Инструкции о порядке проведения</w:t>
            </w:r>
            <w:br/>
            <w:r>
              <w:rPr>
                <w:sz w:val="22"/>
                <w:szCs w:val="22"/>
              </w:rPr>
              <w:t xml:space="preserve">подтверждения квалификации</w:t>
            </w:r>
            <w:br/>
            <w:r>
              <w:rPr>
                <w:sz w:val="22"/>
                <w:szCs w:val="22"/>
              </w:rPr>
              <w:t xml:space="preserve">и проверочного испытания для лиц,</w:t>
            </w:r>
            <w:br/>
            <w:r>
              <w:rPr>
                <w:sz w:val="22"/>
                <w:szCs w:val="22"/>
              </w:rPr>
              <w:t xml:space="preserve">имеющих высшее или среднее</w:t>
            </w:r>
            <w:br/>
            <w:r>
              <w:rPr>
                <w:sz w:val="22"/>
                <w:szCs w:val="22"/>
              </w:rPr>
              <w:t xml:space="preserve">специальное медицинское,</w:t>
            </w:r>
            <w:br/>
            <w:r>
              <w:rPr>
                <w:sz w:val="22"/>
                <w:szCs w:val="22"/>
              </w:rPr>
              <w:t xml:space="preserve">фармацевтическое образование,</w:t>
            </w:r>
            <w:br/>
            <w:r>
              <w:rPr>
                <w:sz w:val="22"/>
                <w:szCs w:val="22"/>
              </w:rPr>
              <w:t xml:space="preserve">не работавших по имеющейся</w:t>
            </w:r>
            <w:br/>
            <w:r>
              <w:rPr>
                <w:sz w:val="22"/>
                <w:szCs w:val="22"/>
              </w:rPr>
              <w:t xml:space="preserve">специальности более четырех лет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22.04.2021 № 39)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СЕРТИФИКАТ № ________</w:t>
      </w:r>
      <w:br/>
      <w:r>
        <w:rPr>
          <w:sz w:val="24"/>
          <w:szCs w:val="24"/>
          <w:b/>
          <w:bCs/>
        </w:rPr>
        <w:t xml:space="preserve">о подтверждении квалификации и прохождении проверочного испытания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Выдан _________________________________________________________________</w:t>
      </w:r>
    </w:p>
    <w:p>
      <w:pPr>
        <w:ind w:left="2267.7165354331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том, что он (она) подтвердил(а) квалификацию и прошел(ла) ______________________</w:t>
      </w:r>
    </w:p>
    <w:p>
      <w:pPr>
        <w:ind w:left="7516.0604924384" w:right="0"/>
        <w:spacing w:before="0" w:after="0"/>
      </w:pPr>
      <w:r>
        <w:rPr>
          <w:sz w:val="20"/>
          <w:szCs w:val="20"/>
        </w:rPr>
        <w:t xml:space="preserve">(дата)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проверочное испытание в квалификационной комиссии ____________________________</w:t>
      </w:r>
    </w:p>
    <w:p>
      <w:pPr>
        <w:ind w:left="5892.2634670666" w:right="0"/>
        <w:spacing w:before="0" w:after="0"/>
      </w:pPr>
      <w:r>
        <w:rPr>
          <w:sz w:val="20"/>
          <w:szCs w:val="20"/>
        </w:rPr>
        <w:t xml:space="preserve">(название учреждения образования)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Дополнительные сведения 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Рекомендации квалификационной комиссии по дальнейшей профессиональной подготовке 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выдачи сертификата ____ ________________ 20__ 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971" w:type="dxa"/>
        <w:gridCol w:w="1666" w:type="dxa"/>
        <w:gridCol w:w="1363" w:type="dxa"/>
      </w:tblGrid>
      <w:tblPr>
        <w:tblW w:w="5000" w:type="pct"/>
        <w:tblLayout w:type="autofit"/>
      </w:tblPr>
      <w:tr>
        <w:trPr/>
        <w:tc>
          <w:tcPr>
            <w:tcW w:w="197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Председатель</w:t>
            </w:r>
            <w:br/>
            <w:r>
              <w:rPr>
                <w:sz w:val="24"/>
                <w:szCs w:val="24"/>
              </w:rPr>
              <w:t xml:space="preserve">квалификационной комиссии</w:t>
            </w:r>
          </w:p>
        </w:tc>
        <w:tc>
          <w:tcPr>
            <w:tcW w:w="1666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</w:t>
            </w:r>
          </w:p>
        </w:tc>
        <w:tc>
          <w:tcPr>
            <w:tcW w:w="1363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</w:t>
            </w:r>
          </w:p>
        </w:tc>
      </w:tr>
      <w:tr>
        <w:trPr/>
        <w:tc>
          <w:tcPr>
            <w:tcW w:w="197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6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363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971" w:type="dxa"/>
        <w:gridCol w:w="1666" w:type="dxa"/>
        <w:gridCol w:w="1363" w:type="dxa"/>
      </w:tblGrid>
      <w:tblPr>
        <w:tblW w:w="5000" w:type="pct"/>
        <w:tblLayout w:type="autofit"/>
      </w:tblPr>
      <w:tr>
        <w:trPr/>
        <w:tc>
          <w:tcPr>
            <w:tcW w:w="1971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</w:t>
            </w:r>
            <w:br/>
            <w:r>
              <w:rPr>
                <w:sz w:val="24"/>
                <w:szCs w:val="24"/>
              </w:rPr>
              <w:t xml:space="preserve">учреждения образования</w:t>
            </w:r>
          </w:p>
        </w:tc>
        <w:tc>
          <w:tcPr>
            <w:tcW w:w="1666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</w:t>
            </w:r>
          </w:p>
        </w:tc>
        <w:tc>
          <w:tcPr>
            <w:tcW w:w="1363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</w:t>
            </w:r>
          </w:p>
        </w:tc>
      </w:tr>
      <w:tr>
        <w:trPr/>
        <w:tc>
          <w:tcPr>
            <w:tcW w:w="197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6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363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2025-02-04T09:52:06+03:00</dcterms:created>
  <dcterms:modified xsi:type="dcterms:W3CDTF">2025-02-04T09:52:06+03:00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